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51" w:rsidRPr="001A1686" w:rsidRDefault="00817051" w:rsidP="001A1686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ข้อมูลเช</w:t>
      </w:r>
      <w:r w:rsidRPr="004D0FD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ิ</w:t>
      </w: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งสถิติการให้บริการขององค์การบริหารส่วนตำบลกะลาเส</w:t>
      </w:r>
      <w:r w:rsidR="001A168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="001A168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ปีพ.ศ. 2562</w:t>
      </w:r>
    </w:p>
    <w:p w:rsidR="00817051" w:rsidRPr="004D0FD0" w:rsidRDefault="00817051" w:rsidP="0081705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อำเภอสิเกา จังหวัดตรัง</w:t>
      </w:r>
      <w:r w:rsidRPr="004D0FD0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817051" w:rsidRPr="00F26CA8" w:rsidRDefault="00817051" w:rsidP="008170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17051" w:rsidRPr="004D0FD0" w:rsidRDefault="00817051" w:rsidP="00817051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4D0FD0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Pr="004D0FD0">
        <w:rPr>
          <w:rFonts w:ascii="TH SarabunIT๙" w:hAnsi="TH SarabunIT๙" w:cs="TH SarabunIT๙" w:hint="cs"/>
          <w:sz w:val="32"/>
          <w:szCs w:val="32"/>
          <w:cs/>
        </w:rPr>
        <w:t>ของปี พ.ศ. 2562</w:t>
      </w:r>
      <w:r w:rsidR="00F16229" w:rsidRPr="004D0FD0">
        <w:rPr>
          <w:rFonts w:ascii="TH SarabunIT๙" w:hAnsi="TH SarabunIT๙" w:cs="TH SarabunIT๙"/>
          <w:sz w:val="32"/>
          <w:szCs w:val="32"/>
        </w:rPr>
        <w:t xml:space="preserve"> </w:t>
      </w:r>
      <w:r w:rsidR="00F16229" w:rsidRPr="004D0FD0">
        <w:rPr>
          <w:rFonts w:ascii="TH SarabunIT๙" w:hAnsi="TH SarabunIT๙" w:cs="TH SarabunIT๙" w:hint="cs"/>
          <w:sz w:val="32"/>
          <w:szCs w:val="32"/>
          <w:cs/>
        </w:rPr>
        <w:t>(  ตั้งแต่ วันที่ 1 มกราคม - 21 มิถุนายน)</w:t>
      </w:r>
    </w:p>
    <w:p w:rsidR="00817051" w:rsidRPr="004D0FD0" w:rsidRDefault="00817051" w:rsidP="0081705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0FD0">
        <w:rPr>
          <w:rFonts w:ascii="TH SarabunIT๙" w:hAnsi="TH SarabunIT๙" w:cs="TH SarabunIT๙"/>
          <w:sz w:val="32"/>
          <w:szCs w:val="32"/>
          <w:cs/>
        </w:rPr>
        <w:tab/>
      </w:r>
      <w:r w:rsidRPr="004D0FD0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องค์การบริหารส่วนตำบลกะลาเส</w:t>
      </w:r>
      <w:r w:rsidRPr="004D0FD0">
        <w:rPr>
          <w:rFonts w:ascii="TH SarabunIT๙" w:hAnsi="TH SarabunIT๙" w:cs="TH SarabunIT๙" w:hint="cs"/>
          <w:sz w:val="32"/>
          <w:szCs w:val="32"/>
          <w:cs/>
        </w:rPr>
        <w:t xml:space="preserve">  ได้สรุปข้อมูลเชิงสถิติการให้บริการขององค์การบริหารส่วนตำบลกะลาเส ของปี พ.ศ. 256</w:t>
      </w:r>
      <w:r w:rsidR="00CA458F" w:rsidRPr="004D0FD0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D0FD0">
        <w:rPr>
          <w:rFonts w:ascii="TH SarabunIT๙" w:hAnsi="TH SarabunIT๙" w:cs="TH SarabunIT๙" w:hint="cs"/>
          <w:sz w:val="32"/>
          <w:szCs w:val="32"/>
          <w:cs/>
        </w:rPr>
        <w:t xml:space="preserve"> มีรายละเอียดดังนี้</w:t>
      </w:r>
    </w:p>
    <w:p w:rsidR="00817051" w:rsidRPr="004D0FD0" w:rsidRDefault="00817051" w:rsidP="008170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17051" w:rsidRPr="00F26CA8" w:rsidRDefault="00817051" w:rsidP="0081705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17051" w:rsidRPr="00F26CA8" w:rsidRDefault="004D0FD0" w:rsidP="0081705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2160">
        <w:rPr>
          <w:rFonts w:ascii="TH SarabunIT๙" w:hAnsi="TH SarabunIT๙" w:cs="TH SarabunIT๙"/>
          <w:b/>
          <w:bCs/>
          <w:sz w:val="32"/>
          <w:szCs w:val="32"/>
          <w:cs/>
        </w:rPr>
        <w:object w:dxaOrig="6705" w:dyaOrig="42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4pt;height:211.35pt" o:ole="">
            <v:imagedata r:id="rId4" o:title=""/>
          </v:shape>
          <o:OLEObject Type="Embed" ProgID="Excel.Sheet.12" ShapeID="_x0000_i1025" DrawAspect="Content" ObjectID="_1623049012" r:id="rId5"/>
        </w:object>
      </w:r>
    </w:p>
    <w:p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rFonts w:hint="cs"/>
          <w:b/>
          <w:bCs/>
          <w:sz w:val="32"/>
          <w:szCs w:val="32"/>
        </w:rPr>
      </w:pPr>
    </w:p>
    <w:p w:rsidR="00817051" w:rsidRDefault="00DB13B3" w:rsidP="00817051">
      <w:pPr>
        <w:spacing w:after="0"/>
        <w:jc w:val="center"/>
        <w:rPr>
          <w:b/>
          <w:bCs/>
          <w:sz w:val="32"/>
          <w:szCs w:val="32"/>
        </w:rPr>
      </w:pPr>
      <w:r w:rsidRPr="000C2160">
        <w:rPr>
          <w:rFonts w:ascii="TH SarabunIT๙" w:hAnsi="TH SarabunIT๙" w:cs="TH SarabunIT๙"/>
          <w:b/>
          <w:bCs/>
          <w:sz w:val="32"/>
          <w:szCs w:val="32"/>
          <w:cs/>
        </w:rPr>
        <w:object w:dxaOrig="6690" w:dyaOrig="3751">
          <v:shape id="_x0000_i1026" type="#_x0000_t75" style="width:334.45pt;height:187.2pt" o:ole="">
            <v:imagedata r:id="rId6" o:title=""/>
          </v:shape>
          <o:OLEObject Type="Embed" ProgID="Excel.Sheet.12" ShapeID="_x0000_i1026" DrawAspect="Content" ObjectID="_1623049013" r:id="rId7"/>
        </w:object>
      </w:r>
    </w:p>
    <w:p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 xml:space="preserve">ข้อมูลเชิงสถิติ ด้านการจัดเก็บรายได้ </w:t>
      </w:r>
      <w:r w:rsidRPr="0018182B">
        <w:rPr>
          <w:rFonts w:hint="cs"/>
          <w:b/>
          <w:bCs/>
          <w:sz w:val="32"/>
          <w:szCs w:val="32"/>
          <w:cs/>
        </w:rPr>
        <w:t xml:space="preserve">เปรียบเทียบระหว่างปี </w:t>
      </w:r>
    </w:p>
    <w:p w:rsidR="00817051" w:rsidRPr="0018182B" w:rsidRDefault="00817051" w:rsidP="00817051">
      <w:p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(</w:t>
      </w:r>
      <w:r w:rsidR="00793EB9">
        <w:rPr>
          <w:rFonts w:hint="cs"/>
          <w:b/>
          <w:bCs/>
          <w:sz w:val="32"/>
          <w:szCs w:val="32"/>
          <w:cs/>
        </w:rPr>
        <w:t>2560</w:t>
      </w:r>
      <w:r w:rsidRPr="0018182B">
        <w:rPr>
          <w:rFonts w:hint="cs"/>
          <w:b/>
          <w:bCs/>
          <w:sz w:val="32"/>
          <w:szCs w:val="32"/>
          <w:cs/>
        </w:rPr>
        <w:t>-256</w:t>
      </w:r>
      <w:r w:rsidR="0035690A">
        <w:rPr>
          <w:rFonts w:hint="cs"/>
          <w:b/>
          <w:bCs/>
          <w:sz w:val="32"/>
          <w:szCs w:val="32"/>
          <w:cs/>
        </w:rPr>
        <w:t>2</w:t>
      </w:r>
      <w:r w:rsidRPr="0018182B">
        <w:rPr>
          <w:rFonts w:hint="cs"/>
          <w:b/>
          <w:bCs/>
          <w:sz w:val="32"/>
          <w:szCs w:val="32"/>
          <w:cs/>
        </w:rPr>
        <w:t>)</w:t>
      </w:r>
    </w:p>
    <w:p w:rsidR="00817051" w:rsidRDefault="00817051" w:rsidP="00817051">
      <w:pPr>
        <w:spacing w:after="0"/>
        <w:jc w:val="center"/>
        <w:rPr>
          <w:sz w:val="32"/>
          <w:szCs w:val="32"/>
        </w:rPr>
      </w:pPr>
      <w:r w:rsidRPr="0018182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158750</wp:posOffset>
            </wp:positionV>
            <wp:extent cx="5483225" cy="3202940"/>
            <wp:effectExtent l="19050" t="0" r="22225" b="0"/>
            <wp:wrapThrough wrapText="bothSides">
              <wp:wrapPolygon edited="0">
                <wp:start x="-75" y="0"/>
                <wp:lineTo x="-75" y="21583"/>
                <wp:lineTo x="21688" y="21583"/>
                <wp:lineTo x="21688" y="0"/>
                <wp:lineTo x="-75" y="0"/>
              </wp:wrapPolygon>
            </wp:wrapThrough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Default="00817051" w:rsidP="00817051">
      <w:pPr>
        <w:spacing w:after="0"/>
        <w:jc w:val="center"/>
        <w:rPr>
          <w:b/>
          <w:bCs/>
          <w:sz w:val="32"/>
          <w:szCs w:val="32"/>
        </w:rPr>
      </w:pPr>
      <w:r w:rsidRPr="0018182B">
        <w:rPr>
          <w:rFonts w:hint="cs"/>
          <w:b/>
          <w:bCs/>
          <w:sz w:val="32"/>
          <w:szCs w:val="32"/>
          <w:cs/>
        </w:rPr>
        <w:t>ข้อมูลเชิงสถิติด้านการให้บริการประชาชนและอื่นๆ</w:t>
      </w:r>
      <w:r w:rsidR="00B25E8D">
        <w:rPr>
          <w:rFonts w:hint="cs"/>
          <w:b/>
          <w:bCs/>
          <w:sz w:val="32"/>
          <w:szCs w:val="32"/>
          <w:cs/>
        </w:rPr>
        <w:t xml:space="preserve"> </w:t>
      </w:r>
      <w:r w:rsidRPr="0018182B">
        <w:rPr>
          <w:rFonts w:hint="cs"/>
          <w:b/>
          <w:bCs/>
          <w:sz w:val="32"/>
          <w:szCs w:val="32"/>
          <w:cs/>
        </w:rPr>
        <w:t>เปรียบเทียบระหว่างปี</w:t>
      </w:r>
    </w:p>
    <w:p w:rsidR="00817051" w:rsidRPr="0018182B" w:rsidRDefault="00734E7C" w:rsidP="00817051">
      <w:p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292100</wp:posOffset>
            </wp:positionV>
            <wp:extent cx="5483225" cy="3202940"/>
            <wp:effectExtent l="19050" t="0" r="22225" b="0"/>
            <wp:wrapThrough wrapText="bothSides">
              <wp:wrapPolygon edited="0">
                <wp:start x="-75" y="0"/>
                <wp:lineTo x="-75" y="21583"/>
                <wp:lineTo x="21688" y="21583"/>
                <wp:lineTo x="21688" y="0"/>
                <wp:lineTo x="-75" y="0"/>
              </wp:wrapPolygon>
            </wp:wrapThrough>
            <wp:docPr id="4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817051">
        <w:rPr>
          <w:rFonts w:hint="cs"/>
          <w:b/>
          <w:bCs/>
          <w:sz w:val="32"/>
          <w:szCs w:val="32"/>
          <w:cs/>
        </w:rPr>
        <w:t>(</w:t>
      </w:r>
      <w:r w:rsidR="00817051" w:rsidRPr="0018182B">
        <w:rPr>
          <w:rFonts w:hint="cs"/>
          <w:b/>
          <w:bCs/>
          <w:sz w:val="32"/>
          <w:szCs w:val="32"/>
          <w:cs/>
        </w:rPr>
        <w:t xml:space="preserve"> 2560-256</w:t>
      </w:r>
      <w:r w:rsidR="00B25E8D">
        <w:rPr>
          <w:rFonts w:hint="cs"/>
          <w:b/>
          <w:bCs/>
          <w:sz w:val="32"/>
          <w:szCs w:val="32"/>
          <w:cs/>
        </w:rPr>
        <w:t>2</w:t>
      </w:r>
      <w:r w:rsidR="00817051" w:rsidRPr="0018182B">
        <w:rPr>
          <w:rFonts w:hint="cs"/>
          <w:b/>
          <w:bCs/>
          <w:sz w:val="32"/>
          <w:szCs w:val="32"/>
          <w:cs/>
        </w:rPr>
        <w:t>)</w:t>
      </w:r>
    </w:p>
    <w:p w:rsidR="00817051" w:rsidRDefault="00817051" w:rsidP="00817051">
      <w:pPr>
        <w:spacing w:after="0"/>
        <w:jc w:val="center"/>
        <w:rPr>
          <w:sz w:val="32"/>
          <w:szCs w:val="32"/>
        </w:rPr>
      </w:pPr>
    </w:p>
    <w:p w:rsidR="00817051" w:rsidRPr="003F6F4B" w:rsidRDefault="00817051" w:rsidP="00817051">
      <w:pPr>
        <w:spacing w:after="0"/>
        <w:jc w:val="center"/>
        <w:rPr>
          <w:sz w:val="32"/>
          <w:szCs w:val="32"/>
          <w:cs/>
        </w:rPr>
      </w:pPr>
    </w:p>
    <w:p w:rsidR="00267A7E" w:rsidRDefault="00267A7E">
      <w:pPr>
        <w:rPr>
          <w:rFonts w:hint="cs"/>
        </w:rPr>
      </w:pPr>
    </w:p>
    <w:sectPr w:rsidR="00267A7E" w:rsidSect="000C2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20"/>
  <w:characterSpacingControl w:val="doNotCompress"/>
  <w:compat>
    <w:applyBreakingRules/>
  </w:compat>
  <w:rsids>
    <w:rsidRoot w:val="00817051"/>
    <w:rsid w:val="0016559B"/>
    <w:rsid w:val="00193D1E"/>
    <w:rsid w:val="001A1686"/>
    <w:rsid w:val="00267A7E"/>
    <w:rsid w:val="00321947"/>
    <w:rsid w:val="0035690A"/>
    <w:rsid w:val="00423142"/>
    <w:rsid w:val="004D0FD0"/>
    <w:rsid w:val="00556882"/>
    <w:rsid w:val="005F5584"/>
    <w:rsid w:val="00696D64"/>
    <w:rsid w:val="0073391A"/>
    <w:rsid w:val="00734E7C"/>
    <w:rsid w:val="00793EB9"/>
    <w:rsid w:val="00817051"/>
    <w:rsid w:val="009B36BF"/>
    <w:rsid w:val="00B11DFD"/>
    <w:rsid w:val="00B25E8D"/>
    <w:rsid w:val="00B90F32"/>
    <w:rsid w:val="00BA7D02"/>
    <w:rsid w:val="00C54135"/>
    <w:rsid w:val="00CA458F"/>
    <w:rsid w:val="00DB13B3"/>
    <w:rsid w:val="00F16229"/>
    <w:rsid w:val="00F6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51"/>
    <w:pPr>
      <w:spacing w:before="0"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package" Target="embeddings/________Microsoft_Office_Excel2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package" Target="embeddings/________Microsoft_Office_Excel1.xlsx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2560</c:v>
                </c:pt>
              </c:strCache>
            </c:strRef>
          </c:tx>
          <c:dLbls>
            <c:dLbl>
              <c:idx val="0"/>
              <c:layout>
                <c:manualLayout>
                  <c:x val="1.6213086276780544E-2"/>
                  <c:y val="3.9651070578905646E-3"/>
                </c:manualLayout>
              </c:layout>
              <c:showVal val="1"/>
            </c:dLbl>
            <c:dLbl>
              <c:idx val="1"/>
              <c:layout>
                <c:manualLayout>
                  <c:x val="6.94846554719166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1.5860428231562331E-2"/>
                </c:manualLayout>
              </c:layout>
              <c:showVal val="1"/>
            </c:dLbl>
            <c:dLbl>
              <c:idx val="3"/>
              <c:layout>
                <c:manualLayout>
                  <c:x val="4.6323103647944409E-3"/>
                  <c:y val="3.9651070578904917E-3"/>
                </c:manualLayout>
              </c:layout>
              <c:showVal val="1"/>
            </c:dLbl>
            <c:dLbl>
              <c:idx val="4"/>
              <c:layout>
                <c:manualLayout>
                  <c:x val="-3.2426172553561096E-2"/>
                  <c:y val="5.5520865205092806E-2"/>
                </c:manualLayout>
              </c:layout>
              <c:showVal val="1"/>
            </c:dLbl>
            <c:dLbl>
              <c:idx val="5"/>
              <c:layout>
                <c:manualLayout>
                  <c:x val="4.6323103647944409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804</c:v>
                </c:pt>
                <c:pt idx="1">
                  <c:v>6</c:v>
                </c:pt>
                <c:pt idx="2">
                  <c:v>77</c:v>
                </c:pt>
                <c:pt idx="3">
                  <c:v>10</c:v>
                </c:pt>
                <c:pt idx="4">
                  <c:v>670</c:v>
                </c:pt>
                <c:pt idx="5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 2561</c:v>
                </c:pt>
              </c:strCache>
            </c:strRef>
          </c:tx>
          <c:dLbls>
            <c:dLbl>
              <c:idx val="0"/>
              <c:layout>
                <c:manualLayout>
                  <c:x val="9.2553196339745306E-3"/>
                  <c:y val="3.9270170530824816E-3"/>
                </c:manualLayout>
              </c:layout>
              <c:showVal val="1"/>
            </c:dLbl>
            <c:dLbl>
              <c:idx val="1"/>
              <c:layout>
                <c:manualLayout>
                  <c:x val="4.6323103647944409E-3"/>
                  <c:y val="-3.9651070578905646E-3"/>
                </c:manualLayout>
              </c:layout>
              <c:showVal val="1"/>
            </c:dLbl>
            <c:dLbl>
              <c:idx val="2"/>
              <c:layout>
                <c:manualLayout>
                  <c:x val="1.1580775911986106E-2"/>
                  <c:y val="1.5860428231562331E-2"/>
                </c:manualLayout>
              </c:layout>
              <c:showVal val="1"/>
            </c:dLbl>
            <c:dLbl>
              <c:idx val="3"/>
              <c:layout>
                <c:manualLayout>
                  <c:x val="4.6323103647944409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2.3026594750352202E-3"/>
                  <c:y val="1.9834277257769428E-2"/>
                </c:manualLayout>
              </c:layout>
              <c:showVal val="1"/>
            </c:dLbl>
            <c:dLbl>
              <c:idx val="5"/>
              <c:layout>
                <c:manualLayout>
                  <c:x val="6.9484655471916635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454</c:v>
                </c:pt>
                <c:pt idx="1">
                  <c:v>7</c:v>
                </c:pt>
                <c:pt idx="2">
                  <c:v>77</c:v>
                </c:pt>
                <c:pt idx="3">
                  <c:v>20</c:v>
                </c:pt>
                <c:pt idx="4">
                  <c:v>679</c:v>
                </c:pt>
                <c:pt idx="5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ปี  2562</c:v>
                </c:pt>
              </c:strCache>
            </c:strRef>
          </c:tx>
          <c:dLbls>
            <c:dLbl>
              <c:idx val="0"/>
              <c:layout>
                <c:manualLayout>
                  <c:x val="2.7793862188766658E-2"/>
                  <c:y val="7.930214115781091E-3"/>
                </c:manualLayout>
              </c:layout>
              <c:showVal val="1"/>
            </c:dLbl>
            <c:dLbl>
              <c:idx val="1"/>
              <c:layout>
                <c:manualLayout>
                  <c:x val="9.2646207295888818E-3"/>
                  <c:y val="7.9302141157811291E-3"/>
                </c:manualLayout>
              </c:layout>
              <c:showVal val="1"/>
            </c:dLbl>
            <c:dLbl>
              <c:idx val="2"/>
              <c:layout>
                <c:manualLayout>
                  <c:x val="2.0845396641574993E-2"/>
                  <c:y val="1.5860428231562258E-2"/>
                </c:manualLayout>
              </c:layout>
              <c:showVal val="1"/>
            </c:dLbl>
            <c:dLbl>
              <c:idx val="3"/>
              <c:layout>
                <c:manualLayout>
                  <c:x val="6.9484655471916635E-3"/>
                  <c:y val="3.9651070578905646E-3"/>
                </c:manualLayout>
              </c:layout>
              <c:showVal val="1"/>
            </c:dLbl>
            <c:dLbl>
              <c:idx val="4"/>
              <c:layout>
                <c:manualLayout>
                  <c:x val="3.4742327735958312E-2"/>
                  <c:y val="-3.9651070578905646E-3"/>
                </c:manualLayout>
              </c:layout>
              <c:showVal val="1"/>
            </c:dLbl>
            <c:dLbl>
              <c:idx val="5"/>
              <c:layout>
                <c:manualLayout>
                  <c:x val="1.1580775911986106E-2"/>
                  <c:y val="3.9651070578905646E-3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6"/>
                <c:pt idx="0">
                  <c:v>ภาษีบำรุงท้องที่</c:v>
                </c:pt>
                <c:pt idx="1">
                  <c:v>ภาษีป้าย</c:v>
                </c:pt>
                <c:pt idx="2">
                  <c:v>ภาษีโรงเรือน</c:v>
                </c:pt>
                <c:pt idx="3">
                  <c:v>จดทะเบียนพาณิชย์</c:v>
                </c:pt>
                <c:pt idx="4">
                  <c:v>น้ำประปา</c:v>
                </c:pt>
                <c:pt idx="5">
                  <c:v>ปิดประกาศที่ดิน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534</c:v>
                </c:pt>
                <c:pt idx="1">
                  <c:v>7</c:v>
                </c:pt>
                <c:pt idx="2">
                  <c:v>82</c:v>
                </c:pt>
                <c:pt idx="3">
                  <c:v>5</c:v>
                </c:pt>
                <c:pt idx="4">
                  <c:v>696</c:v>
                </c:pt>
                <c:pt idx="5">
                  <c:v>1</c:v>
                </c:pt>
              </c:numCache>
            </c:numRef>
          </c:val>
        </c:ser>
        <c:shape val="cylinder"/>
        <c:axId val="75072256"/>
        <c:axId val="75074176"/>
        <c:axId val="0"/>
      </c:bar3DChart>
      <c:catAx>
        <c:axId val="75072256"/>
        <c:scaling>
          <c:orientation val="minMax"/>
        </c:scaling>
        <c:axPos val="b"/>
        <c:tickLblPos val="nextTo"/>
        <c:crossAx val="75074176"/>
        <c:crosses val="autoZero"/>
        <c:auto val="1"/>
        <c:lblAlgn val="ctr"/>
        <c:lblOffset val="100"/>
      </c:catAx>
      <c:valAx>
        <c:axId val="75074176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750722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ปี 2560</c:v>
                </c:pt>
              </c:strCache>
            </c:strRef>
          </c:tx>
          <c:dLbls>
            <c:dLbl>
              <c:idx val="0"/>
              <c:layout>
                <c:manualLayout>
                  <c:x val="-9.2646207295888818E-3"/>
                  <c:y val="3.5685963521015079E-2"/>
                </c:manualLayout>
              </c:layout>
              <c:showVal val="1"/>
            </c:dLbl>
            <c:dLbl>
              <c:idx val="1"/>
              <c:layout>
                <c:manualLayout>
                  <c:x val="-1.3896931094383305E-2"/>
                  <c:y val="2.7755749405233947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1.189532117367176E-2"/>
                </c:manualLayout>
              </c:layout>
              <c:showVal val="1"/>
            </c:dLbl>
            <c:dLbl>
              <c:idx val="4"/>
              <c:layout>
                <c:manualLayout>
                  <c:x val="4.6323103647944409E-3"/>
                  <c:y val="0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659</c:v>
                </c:pt>
                <c:pt idx="1">
                  <c:v>151</c:v>
                </c:pt>
                <c:pt idx="2">
                  <c:v>4</c:v>
                </c:pt>
                <c:pt idx="3">
                  <c:v>104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  2561</c:v>
                </c:pt>
              </c:strCache>
            </c:strRef>
          </c:tx>
          <c:dLbls>
            <c:dLbl>
              <c:idx val="0"/>
              <c:layout>
                <c:manualLayout>
                  <c:x val="2.31615518239722E-3"/>
                  <c:y val="2.379033013418921E-2"/>
                </c:manualLayout>
              </c:layout>
              <c:showVal val="1"/>
            </c:dLbl>
            <c:dLbl>
              <c:idx val="1"/>
              <c:layout>
                <c:manualLayout>
                  <c:x val="2.31615518239722E-3"/>
                  <c:y val="1.9825535289452821E-2"/>
                </c:manualLayout>
              </c:layout>
              <c:showVal val="1"/>
            </c:dLbl>
            <c:dLbl>
              <c:idx val="3"/>
              <c:layout>
                <c:manualLayout>
                  <c:x val="6.9484655471916635E-3"/>
                  <c:y val="1.9825535289452821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7.9302141157811291E-3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634</c:v>
                </c:pt>
                <c:pt idx="1">
                  <c:v>127</c:v>
                </c:pt>
                <c:pt idx="2">
                  <c:v>4</c:v>
                </c:pt>
                <c:pt idx="3">
                  <c:v>139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ปี  2562</c:v>
                </c:pt>
              </c:strCache>
            </c:strRef>
          </c:tx>
          <c:dLbls>
            <c:dLbl>
              <c:idx val="0"/>
              <c:layout>
                <c:manualLayout>
                  <c:x val="2.3161551823972198E-2"/>
                  <c:y val="1.9825535289452821E-2"/>
                </c:manualLayout>
              </c:layout>
              <c:showVal val="1"/>
            </c:dLbl>
            <c:dLbl>
              <c:idx val="1"/>
              <c:layout>
                <c:manualLayout>
                  <c:x val="6.9484655471916635E-3"/>
                  <c:y val="1.9825535289452821E-2"/>
                </c:manualLayout>
              </c:layout>
              <c:showVal val="1"/>
            </c:dLbl>
            <c:dLbl>
              <c:idx val="3"/>
              <c:layout>
                <c:manualLayout>
                  <c:x val="2.3161551823972198E-2"/>
                  <c:y val="1.9825535289452821E-2"/>
                </c:manualLayout>
              </c:layout>
              <c:showVal val="1"/>
            </c:dLbl>
            <c:dLbl>
              <c:idx val="4"/>
              <c:layout>
                <c:manualLayout>
                  <c:x val="6.9484655471916635E-3"/>
                  <c:y val="-7.9302141157811291E-3"/>
                </c:manualLayout>
              </c:layout>
              <c:showVal val="1"/>
            </c:dLbl>
            <c:showVal val="1"/>
          </c:dLbls>
          <c:cat>
            <c:strRef>
              <c:f>Sheet1!$A$2:$A$7</c:f>
              <c:strCache>
                <c:ptCount val="5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น้ำอุปโภค บริโภค</c:v>
                </c:pt>
                <c:pt idx="4">
                  <c:v>หนังสือรับรองสิ่งปลูกสร้าง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662</c:v>
                </c:pt>
                <c:pt idx="1">
                  <c:v>176</c:v>
                </c:pt>
                <c:pt idx="2">
                  <c:v>4</c:v>
                </c:pt>
                <c:pt idx="3">
                  <c:v>165</c:v>
                </c:pt>
                <c:pt idx="4">
                  <c:v>10</c:v>
                </c:pt>
              </c:numCache>
            </c:numRef>
          </c:val>
        </c:ser>
        <c:shape val="cone"/>
        <c:axId val="84790272"/>
        <c:axId val="84812544"/>
        <c:axId val="0"/>
      </c:bar3DChart>
      <c:catAx>
        <c:axId val="84790272"/>
        <c:scaling>
          <c:orientation val="minMax"/>
        </c:scaling>
        <c:axPos val="b"/>
        <c:tickLblPos val="nextTo"/>
        <c:crossAx val="84812544"/>
        <c:crosses val="autoZero"/>
        <c:auto val="1"/>
        <c:lblAlgn val="ctr"/>
        <c:lblOffset val="100"/>
      </c:catAx>
      <c:valAx>
        <c:axId val="84812544"/>
        <c:scaling>
          <c:orientation val="minMax"/>
        </c:scaling>
        <c:delete val="1"/>
        <c:axPos val="l"/>
        <c:majorGridlines/>
        <c:numFmt formatCode="General" sourceLinked="1"/>
        <c:tickLblPos val="nextTo"/>
        <c:crossAx val="847902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04062773403325"/>
          <c:y val="5.9194788151481124E-2"/>
          <c:w val="9.1869109876031002E-2"/>
          <c:h val="0.21510206248009645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19</cp:revision>
  <dcterms:created xsi:type="dcterms:W3CDTF">2019-06-26T02:11:00Z</dcterms:created>
  <dcterms:modified xsi:type="dcterms:W3CDTF">2019-06-26T03:10:00Z</dcterms:modified>
</cp:coreProperties>
</file>